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line="600" w:lineRule="exact"/>
        <w:ind w:firstLine="0"/>
        <w:rPr>
          <w:rFonts w:ascii="Times New Roman" w:hAnsi="Times New Roman" w:eastAsia="方正仿宋_GBK" w:cs="方正仿宋_GBK"/>
          <w:sz w:val="32"/>
          <w:szCs w:val="32"/>
        </w:rPr>
      </w:pPr>
      <w:bookmarkStart w:id="0" w:name="_GoBack"/>
      <w:r>
        <w:rPr>
          <w:rFonts w:hint="eastAsia" w:ascii="Times New Roman" w:hAnsi="Times New Roman" w:eastAsia="方正仿宋_GBK" w:cs="方正仿宋_GBK"/>
          <w:sz w:val="32"/>
          <w:szCs w:val="32"/>
        </w:rPr>
        <w:t>附件1</w:t>
      </w:r>
    </w:p>
    <w:p>
      <w:pPr>
        <w:pStyle w:val="2"/>
        <w:widowControl/>
        <w:spacing w:beforeAutospacing="0" w:afterAutospacing="0" w:line="600" w:lineRule="exact"/>
        <w:jc w:val="center"/>
        <w:rPr>
          <w:rFonts w:hint="default" w:ascii="Times New Roman" w:hAnsi="Times New Roman" w:eastAsia="方正小标宋_GBK" w:cs="方正小标宋_GBK"/>
          <w:b w:val="0"/>
          <w:bCs w:val="0"/>
          <w:sz w:val="44"/>
          <w:szCs w:val="44"/>
        </w:rPr>
      </w:pPr>
      <w:r>
        <w:rPr>
          <w:rFonts w:ascii="Times New Roman" w:hAnsi="Times New Roman" w:eastAsia="方正小标宋_GBK" w:cs="方正小标宋_GBK"/>
          <w:b w:val="0"/>
          <w:bCs w:val="0"/>
          <w:sz w:val="44"/>
          <w:szCs w:val="44"/>
        </w:rPr>
        <w:t>云南财经职业学院2023年单独招生</w:t>
      </w:r>
    </w:p>
    <w:p>
      <w:pPr>
        <w:pStyle w:val="2"/>
        <w:widowControl/>
        <w:spacing w:beforeAutospacing="0" w:afterAutospacing="0" w:line="600" w:lineRule="exact"/>
        <w:jc w:val="center"/>
        <w:rPr>
          <w:rFonts w:hint="default" w:ascii="Times New Roman" w:hAnsi="Times New Roman" w:eastAsia="方正小标宋_GBK" w:cs="方正小标宋_GBK"/>
          <w:b w:val="0"/>
          <w:bCs w:val="0"/>
          <w:sz w:val="44"/>
          <w:szCs w:val="44"/>
        </w:rPr>
      </w:pPr>
      <w:r>
        <w:rPr>
          <w:rFonts w:ascii="Times New Roman" w:hAnsi="Times New Roman" w:eastAsia="方正小标宋_GBK" w:cs="方正小标宋_GBK"/>
          <w:b w:val="0"/>
          <w:bCs w:val="0"/>
          <w:sz w:val="44"/>
          <w:szCs w:val="44"/>
        </w:rPr>
        <w:t>普通高中毕业生职业适应性测试考试大纲</w:t>
      </w:r>
      <w:bookmarkEnd w:id="0"/>
    </w:p>
    <w:p>
      <w:pPr>
        <w:spacing w:line="600" w:lineRule="exact"/>
        <w:ind w:left="210" w:firstLine="640" w:firstLineChars="200"/>
        <w:rPr>
          <w:rFonts w:ascii="Times New Roman" w:hAnsi="Times New Roman" w:eastAsia="方正黑体_GBK" w:cs="方正黑体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一、制定依据</w:t>
      </w:r>
    </w:p>
    <w:p>
      <w:pPr>
        <w:widowControl/>
        <w:spacing w:line="600" w:lineRule="exact"/>
        <w:ind w:firstLine="640" w:firstLineChars="200"/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为贯彻落实《国务院关于深化考试招生制度改革的实施意见》，加快推进高职院校分类考试，深化高职院校单独招生改革，特制定《云南财经职业学院2023年单独招生普通高中毕业生职业适应性测试考试大纲》。本大纲根据《云南省2023年高职院校单独考试招生办法》《云南财经职业学院2023年单独考试招生章程》的要求，面向2023年普通高中毕业生单招考试考生，以测试其综合素质和职业适应能力及学习潜力为目的而制定。</w:t>
      </w:r>
    </w:p>
    <w:p>
      <w:pPr>
        <w:spacing w:line="600" w:lineRule="exact"/>
        <w:ind w:firstLine="640" w:firstLineChars="200"/>
        <w:rPr>
          <w:rFonts w:ascii="Times New Roman" w:hAnsi="Times New Roman" w:eastAsia="方正黑体_GBK" w:cs="方正黑体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二、适用对象及考试性质</w:t>
      </w:r>
    </w:p>
    <w:p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方正楷体_GBK" w:cs="方正楷体_GBK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楷体_GBK" w:cs="方正楷体_GBK"/>
          <w:color w:val="000000"/>
          <w:kern w:val="0"/>
          <w:sz w:val="32"/>
          <w:szCs w:val="32"/>
        </w:rPr>
        <w:t>（一）适用对象</w:t>
      </w:r>
    </w:p>
    <w:p>
      <w:pPr>
        <w:widowControl/>
        <w:spacing w:line="600" w:lineRule="exact"/>
        <w:ind w:firstLine="640" w:firstLineChars="200"/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本大纲适用于云南省申请报考云南财经职业学院单独招生的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</w:rPr>
        <w:t>统计与会计核算、电子商务、现代物流管理、网络营销与直播电商、资产评估服务与管理、财富管理、数字媒体技术、计算机应用技术共8个专业的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普通高中毕业生。</w:t>
      </w:r>
    </w:p>
    <w:p>
      <w:pPr>
        <w:widowControl/>
        <w:numPr>
          <w:ilvl w:val="0"/>
          <w:numId w:val="1"/>
        </w:numPr>
        <w:spacing w:line="600" w:lineRule="exact"/>
        <w:ind w:firstLine="640" w:firstLineChars="200"/>
        <w:jc w:val="left"/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楷体_GBK" w:cs="方正楷体_GBK"/>
          <w:color w:val="000000"/>
          <w:kern w:val="0"/>
          <w:sz w:val="32"/>
          <w:szCs w:val="32"/>
        </w:rPr>
        <w:t>考试性质</w:t>
      </w:r>
    </w:p>
    <w:p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本大纲进行的考试系选拔性考试，目的在于考察学生基本文化素质、逻辑思维能力及未来职业能力。考试采用综合素质面试的方式进行，所有专业采用同一标准测试。</w:t>
      </w:r>
    </w:p>
    <w:p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方正黑体_GBK" w:cs="方正黑体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三、考试形式、时间及分值</w:t>
      </w:r>
    </w:p>
    <w:p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职业适应性测试成绩满分200分，采用网络远程面试的方式进行，面试时间6—8分钟。</w:t>
      </w:r>
    </w:p>
    <w:p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方正黑体_GBK" w:cs="方正黑体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四、适用专业</w:t>
      </w:r>
    </w:p>
    <w:p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统计与会计核算、电子商务、现代物流管理、网络营销与直播电商、资产评估服务与管理、财富管理、数字媒体技术、计算机应用技术专。</w:t>
      </w:r>
    </w:p>
    <w:p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方正黑体_GBK" w:cs="方正黑体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五、测试目标及内容</w:t>
      </w:r>
    </w:p>
    <w:p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方正楷体_GBK" w:cs="方正楷体_GBK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楷体_GBK" w:cs="方正楷体_GBK"/>
          <w:color w:val="000000"/>
          <w:kern w:val="0"/>
          <w:sz w:val="32"/>
          <w:szCs w:val="32"/>
        </w:rPr>
        <w:t>（一）测试目标</w:t>
      </w:r>
    </w:p>
    <w:p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测试包括整体形象考察、人文素养考核、专业素质测试以及个人特长展示4个方面，主要考查学生是否具备良好的人文素养、正确的职业认知、良好的逻辑思维能力以及沟通表达能力等。</w:t>
      </w:r>
    </w:p>
    <w:p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方正楷体_GBK" w:cs="方正楷体_GBK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楷体_GBK" w:cs="方正楷体_GBK"/>
          <w:color w:val="000000"/>
          <w:kern w:val="0"/>
          <w:sz w:val="32"/>
          <w:szCs w:val="32"/>
        </w:rPr>
        <w:t>（二）测试内容</w:t>
      </w:r>
    </w:p>
    <w:p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通过4方面主要测试如下几个内容：</w:t>
      </w:r>
    </w:p>
    <w:p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1.对学校的认知：考察学生对学校情况的了解程度及认同度。</w:t>
      </w:r>
    </w:p>
    <w:p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2.理解及思维能力：能正确地理解和分析问题，抓住要点；思维严密，条理清晰，逻辑性强。</w:t>
      </w:r>
    </w:p>
    <w:p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3.心理素质：乐观开朗，积极上进，有自信心；能够冷静的处理问题，具有应变能力。</w:t>
      </w:r>
    </w:p>
    <w:p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4.职业认知：对所报考的专业有一定的认知，学习兴趣强，有明确的职业规划。</w:t>
      </w:r>
    </w:p>
    <w:p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5.语言表达：表达准确、简洁、流畅，口齿清楚，语速适宜，能使用普通话表达。</w:t>
      </w:r>
    </w:p>
    <w:p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6.仪表仪态：行为举止自然大方，衣着礼仪得体，人际沟通能力强。</w:t>
      </w:r>
    </w:p>
    <w:p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7.个人特长：个人特长展示。</w:t>
      </w:r>
    </w:p>
    <w:p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方正楷体_GBK" w:cs="方正楷体_GBK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楷体_GBK" w:cs="方正楷体_GBK"/>
          <w:color w:val="000000"/>
          <w:kern w:val="0"/>
          <w:sz w:val="32"/>
          <w:szCs w:val="32"/>
        </w:rPr>
        <w:t>（三）题型结构</w:t>
      </w:r>
    </w:p>
    <w:p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面试共4种题型，每种题型包括1个小题，共</w:t>
      </w:r>
      <w:r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  <w:t>4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个小题。除第1题以及第4题外，其余抽题依次作答，每题作答时间不超过2分钟。如有个人特长可另做展示，时间控制在2分钟内。</w:t>
      </w:r>
    </w:p>
    <w:p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方正楷体_GBK" w:cs="方正楷体_GBK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楷体_GBK" w:cs="方正楷体_GBK"/>
          <w:color w:val="000000"/>
          <w:kern w:val="0"/>
          <w:sz w:val="32"/>
          <w:szCs w:val="32"/>
        </w:rPr>
        <w:t>（四）分值结构</w:t>
      </w:r>
    </w:p>
    <w:p>
      <w:pPr>
        <w:spacing w:line="600" w:lineRule="exact"/>
        <w:ind w:firstLine="640" w:firstLineChars="200"/>
        <w:jc w:val="left"/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职业适应性测试考核内容及分值结构参照下表。</w:t>
      </w:r>
    </w:p>
    <w:tbl>
      <w:tblPr>
        <w:tblStyle w:val="6"/>
        <w:tblW w:w="88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"/>
        <w:gridCol w:w="2076"/>
        <w:gridCol w:w="4620"/>
        <w:gridCol w:w="1240"/>
      </w:tblGrid>
      <w:tr>
        <w:trPr>
          <w:jc w:val="center"/>
        </w:trPr>
        <w:tc>
          <w:tcPr>
            <w:tcW w:w="875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序号</w:t>
            </w:r>
          </w:p>
        </w:tc>
        <w:tc>
          <w:tcPr>
            <w:tcW w:w="2076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模块</w:t>
            </w:r>
          </w:p>
        </w:tc>
        <w:tc>
          <w:tcPr>
            <w:tcW w:w="462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内容</w:t>
            </w:r>
          </w:p>
        </w:tc>
        <w:tc>
          <w:tcPr>
            <w:tcW w:w="124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19" w:hRule="atLeast"/>
          <w:jc w:val="center"/>
        </w:trPr>
        <w:tc>
          <w:tcPr>
            <w:tcW w:w="875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1</w:t>
            </w:r>
          </w:p>
        </w:tc>
        <w:tc>
          <w:tcPr>
            <w:tcW w:w="2076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整体形象考察</w:t>
            </w:r>
          </w:p>
        </w:tc>
        <w:tc>
          <w:tcPr>
            <w:tcW w:w="4620" w:type="dxa"/>
            <w:vAlign w:val="center"/>
          </w:tcPr>
          <w:p>
            <w:pPr>
              <w:spacing w:line="600" w:lineRule="exact"/>
              <w:jc w:val="left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自我介绍并对自己作出评价。</w:t>
            </w:r>
          </w:p>
        </w:tc>
        <w:tc>
          <w:tcPr>
            <w:tcW w:w="124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50分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75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2</w:t>
            </w:r>
          </w:p>
        </w:tc>
        <w:tc>
          <w:tcPr>
            <w:tcW w:w="2076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人文素养考核</w:t>
            </w:r>
          </w:p>
        </w:tc>
        <w:tc>
          <w:tcPr>
            <w:tcW w:w="4620" w:type="dxa"/>
            <w:vAlign w:val="center"/>
          </w:tcPr>
          <w:p>
            <w:pPr>
              <w:spacing w:line="600" w:lineRule="exact"/>
              <w:jc w:val="left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主要考核基本人文素养、社会科技等综合知识的了解和认知。</w:t>
            </w:r>
          </w:p>
        </w:tc>
        <w:tc>
          <w:tcPr>
            <w:tcW w:w="124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60分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75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3</w:t>
            </w:r>
          </w:p>
        </w:tc>
        <w:tc>
          <w:tcPr>
            <w:tcW w:w="2076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专业素质测试</w:t>
            </w:r>
          </w:p>
        </w:tc>
        <w:tc>
          <w:tcPr>
            <w:tcW w:w="4620" w:type="dxa"/>
            <w:vAlign w:val="center"/>
          </w:tcPr>
          <w:p>
            <w:pPr>
              <w:spacing w:line="600" w:lineRule="exact"/>
              <w:jc w:val="left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主要考核学生学习及将来从事某专业所具备的潜能，包括学生对专业的了解程度、兴趣爱好、职业价值观，并对学生的逻辑思维，分析理解及解决问题的相关能力进行考核。</w:t>
            </w:r>
          </w:p>
        </w:tc>
        <w:tc>
          <w:tcPr>
            <w:tcW w:w="124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70分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75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4</w:t>
            </w:r>
          </w:p>
        </w:tc>
        <w:tc>
          <w:tcPr>
            <w:tcW w:w="2076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个人特长</w:t>
            </w:r>
          </w:p>
        </w:tc>
        <w:tc>
          <w:tcPr>
            <w:tcW w:w="4620" w:type="dxa"/>
            <w:vAlign w:val="center"/>
          </w:tcPr>
          <w:p>
            <w:pPr>
              <w:spacing w:line="600" w:lineRule="exact"/>
              <w:jc w:val="left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主要考核学生个人特长</w:t>
            </w:r>
          </w:p>
        </w:tc>
        <w:tc>
          <w:tcPr>
            <w:tcW w:w="124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20分</w:t>
            </w:r>
          </w:p>
        </w:tc>
      </w:tr>
    </w:tbl>
    <w:p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方正黑体_GBK" w:cs="方正黑体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六、补充说明</w:t>
      </w:r>
    </w:p>
    <w:p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（一）本考试大纲是云南财经职业学院2023年高职单招考试命题的基本依据。</w:t>
      </w:r>
    </w:p>
    <w:p>
      <w:pPr>
        <w:widowControl/>
        <w:spacing w:line="600" w:lineRule="exact"/>
        <w:ind w:firstLine="640" w:firstLineChars="200"/>
        <w:jc w:val="left"/>
        <w:rPr>
          <w:rFonts w:ascii="Times New Roman" w:hAnsi="Times New Roman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（二）本次考试不指定教材。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冬青黑体简体中文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楷体_GBK">
    <w:altName w:val="冬青黑体简体中文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小标宋简体">
    <w:altName w:val="方正小标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109636"/>
    <w:multiLevelType w:val="singleLevel"/>
    <w:tmpl w:val="FF109636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5C3648"/>
    <w:rsid w:val="BF5C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iPriority w:val="0"/>
    <w:pPr>
      <w:ind w:firstLine="420"/>
    </w:pPr>
  </w:style>
  <w:style w:type="table" w:styleId="6">
    <w:name w:val="Table Grid"/>
    <w:basedOn w:val="5"/>
    <w:uiPriority w:val="0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Office_3.7.0.5929_F1E327BC-269C-435d-A152-05C5408002CA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2023-03-19T22:33:00Z</dcterms:created>
  <dc:creator>cy</dc:creator>
  <cp:lastModifiedBy>cy</cp:lastModifiedBy>
  <dcterms:modified xsi:type="dcterms:W3CDTF">2023-03-19T22:34:36Z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2052-3.7.0.5929</vt:lpwstr>
  </property>
</Properties>
</file>